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6D" w:rsidRP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28"/>
          <w:szCs w:val="28"/>
          <w:lang w:val="lb-LU"/>
        </w:rPr>
      </w:pPr>
      <w:r w:rsidRPr="00486F6D">
        <w:rPr>
          <w:rFonts w:ascii="GillAltOneMT-Bold" w:hAnsi="GillAltOneMT-Bold" w:cs="GillAltOneMT-Bold"/>
          <w:b/>
          <w:bCs/>
          <w:color w:val="000000"/>
          <w:sz w:val="28"/>
          <w:szCs w:val="28"/>
          <w:lang w:val="lb-LU"/>
        </w:rPr>
        <w:t>KNX Luxembourg, Association sans but lucratif.</w:t>
      </w:r>
    </w:p>
    <w:p w:rsidR="00486F6D" w:rsidRP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24"/>
          <w:szCs w:val="24"/>
          <w:lang w:val="lb-LU"/>
        </w:rPr>
      </w:pPr>
      <w:r w:rsidRPr="00486F6D">
        <w:rPr>
          <w:rFonts w:ascii="GillAltOneMT" w:hAnsi="GillAltOneMT" w:cs="GillAltOneMT"/>
          <w:color w:val="000000"/>
          <w:sz w:val="24"/>
          <w:szCs w:val="24"/>
          <w:lang w:val="lb-LU"/>
        </w:rPr>
        <w:t>Siège social: L-4354 Esch-sur-Alzette, 22, rue Henri Koch.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R.C.S. Luxembourg F 8.798.</w:t>
      </w:r>
      <w:bookmarkStart w:id="0" w:name="_GoBack"/>
      <w:bookmarkEnd w:id="0"/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STATUTS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Entre les soussignés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et tous ceux qui deviendront membres par la suite, est constituée une association sans but lucratif, régie par la loi du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21 avril 1928, telle qu'elle a été modifiée, et par les présents statuts.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I. Dénomination, Objet, Siège, Durée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 </w:t>
      </w:r>
      <w:r>
        <w:rPr>
          <w:rFonts w:ascii="GillAltOneMT-Bold" w:hAnsi="GillAltOneMT-Bold" w:cs="GillAltOneMT-Bold"/>
          <w:b/>
          <w:bCs/>
          <w:color w:val="000000"/>
          <w:sz w:val="16"/>
          <w:szCs w:val="16"/>
          <w:lang w:val="lb-LU"/>
        </w:rPr>
        <w:t xml:space="preserve">er </w:t>
      </w: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L'association porte la dénomination de KNX - Luxembourg.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2.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L'association a pour objet la promotion de la technologie bus KNX,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l'échange d'idées et d'expériences relatives à l'utilisation de la technologie KNX,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7"/>
          <w:szCs w:val="17"/>
          <w:lang w:val="lb-LU"/>
        </w:rPr>
      </w:pPr>
      <w:r>
        <w:rPr>
          <w:rFonts w:ascii="GillAltOneMT" w:hAnsi="GillAltOneMT" w:cs="GillAltOneMT"/>
          <w:color w:val="000000"/>
          <w:sz w:val="17"/>
          <w:szCs w:val="17"/>
          <w:lang w:val="lb-LU"/>
        </w:rPr>
        <w:t>97276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8"/>
          <w:lang w:val="lb-LU"/>
        </w:rPr>
      </w:pPr>
      <w:r>
        <w:rPr>
          <w:rFonts w:ascii="Arial" w:hAnsi="Arial" w:cs="Arial"/>
          <w:b/>
          <w:bCs/>
          <w:color w:val="231F20"/>
          <w:sz w:val="11"/>
          <w:szCs w:val="11"/>
          <w:lang w:val="lb-LU"/>
        </w:rPr>
        <w:t xml:space="preserve">L </w:t>
      </w:r>
      <w:r>
        <w:rPr>
          <w:rFonts w:ascii="Arial" w:hAnsi="Arial" w:cs="Arial"/>
          <w:b/>
          <w:bCs/>
          <w:color w:val="231F20"/>
          <w:sz w:val="8"/>
          <w:szCs w:val="8"/>
          <w:lang w:val="lb-LU"/>
        </w:rPr>
        <w:t>U X E M B O U R G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la sensibilisation aux sujets de la gestion technique de bâtiments par la technologie KNX,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promouvoir les formations, conférences, présentations en la matière,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créer et de maintenir des relations amicales entre ses membres, les partenaires KNX au Luxembourg ainsi que les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utilisateurs de KNX,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d'entretenir des relations avec les associations similaires étrangères.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L'association est en mesure de prendre en charge d'autres activités similaires entrant dans le champ d'intérêt des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membres.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3.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En tant que telle, elle est partenaire contractuelle de «KNX Association» siégeant à B-1831 Diegem-Bruxelles,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Kleetlaan 5 Bus 11.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4.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L'association a son siège social à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L-4354 Esch-sur-Alzette, 22, rue Henri Koch.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siège social peut être transféré à n'importe quel endroit au Grand-Duché de Luxembourg, par simple décision du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conseil d'administration.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5.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La durée de l'association est indéterminée.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II. Exercice social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6.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L'exercice social coïncide avec l'année civile.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III. Membres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7.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L'association se compose des membres effectifs, des membres associés et des membres d'honneur.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Peut devenir membre effectif de l'association toute société et personne figurant en tant que représentant national d'un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membre de KNX Association, toute société et personne du monde professionnel travaillant dans le domaine KNX, ainsi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que toute personne physique ou morale intéressée à la technologie KNX. Les membres effectifs payent une cotisation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annuelle. Les membres effectifs possède le droit de vote lors de l'assemblée générale.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membres associés sont des associations, fédérations ainsi que des organisations et organismes du monde de l'économie,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l'administration publique et de la formation ayant des relations étroites avec le sujet principal de l'association.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membres associés pourront assister aux réunions de l'assemblée générale avec voix consultative.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membres d'honneur peuvent être des personnes physiques ou morales qui prêtent un soutien moral ou matériel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à l'association. Les membres d'honneur pourront assister aux réunions de l'assemblée générale avec voix consultative.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Toute personne physique ou morale désirant faire partie de l'association doit présenter une demande d'adhésion écrite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au conseil d'administration, qui procède à l'examen de la demande et s'entoure de tous les éléments d'appréciation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nécessaires pour prendre sa décision. Le conseil d'administration décide souverainement et n'est pas obligé de faire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connaître les motifs pour lesquels l'adhésion aura, le cas échéant, été refusée.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lastRenderedPageBreak/>
        <w:t xml:space="preserve">Art. 8.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nombre minimum des membres est de 7 (sept).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9.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Tout membre peut quitter l'association en adressant par lettre recommandée sa démission au conseil d'administration.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Est réputé démissionnaire tout membre qui, après mise en demeure lui envoyée par lettre recommandée, ne s'est pas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acquitté de la cotisation dans le délai de trois mois à partir de l'envoi de la mise en demeure.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Art.10.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Tout membre peut être exclu par le conseil d'administration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- en cas d'infraction grave aux présents statuts,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- en cas de manquement important à ses obligations envers l'association, constatés par le conseil d'administration,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- en cas d'un comportement compromettant l'association dans ses relations contractuelles avec KNX 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Un recours dûment motivé devant l'assemblée générale est possible. L'assemblée générale décide souverainement en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dernière instance, à la majorité des deux tiers des membres présents ou représentés.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IV. Assemblée générale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11.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L'assemblée générale a tous les pouvoirs que la loi ou les présents statuts n'ont pas attribués à un autre organe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l'association.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L'assemblée générale se réunit au moins une fois par année civile, sur convocation du président du conseil d'administration,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adressée deux semaines à l'avance par lettre circulaire à tous les membres de l'association, ensemble avec l'ordre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du jour.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L'assemblée générale se réunit pareillement sur demande d'un cinquième des membres de l'association.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Pour les votes, il sera loisible aux membres de se faire représenter par un autre membre à l'aide d'une procuration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écrite.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7"/>
          <w:szCs w:val="17"/>
          <w:lang w:val="lb-LU"/>
        </w:rPr>
      </w:pPr>
      <w:r>
        <w:rPr>
          <w:rFonts w:ascii="GillAltOneMT" w:hAnsi="GillAltOneMT" w:cs="GillAltOneMT"/>
          <w:color w:val="000000"/>
          <w:sz w:val="17"/>
          <w:szCs w:val="17"/>
          <w:lang w:val="lb-LU"/>
        </w:rPr>
        <w:t>97277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8"/>
          <w:lang w:val="lb-LU"/>
        </w:rPr>
      </w:pPr>
      <w:r>
        <w:rPr>
          <w:rFonts w:ascii="Arial" w:hAnsi="Arial" w:cs="Arial"/>
          <w:b/>
          <w:bCs/>
          <w:color w:val="231F20"/>
          <w:sz w:val="11"/>
          <w:szCs w:val="11"/>
          <w:lang w:val="lb-LU"/>
        </w:rPr>
        <w:t xml:space="preserve">L </w:t>
      </w:r>
      <w:r>
        <w:rPr>
          <w:rFonts w:ascii="Arial" w:hAnsi="Arial" w:cs="Arial"/>
          <w:b/>
          <w:bCs/>
          <w:color w:val="231F20"/>
          <w:sz w:val="8"/>
          <w:szCs w:val="8"/>
          <w:lang w:val="lb-LU"/>
        </w:rPr>
        <w:t>U X E M B O U R G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résolutions de l'assemblée générale seront portées à la connaissance des membres et des tiers par lettre circulaire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ou par tout autre moyen approprié.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12.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résolutions pourront être prises en dehors de l'ordre du jour, à condition toutefois que l'assemblée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générale y consente à la majorité de deux tiers des membres présents ou représentés.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V. Administration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13.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L'association est gérée par un conseil d'administration composé de 7 (sept) membres au moins, élus par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l'assemblée générale à la majorité simple des votes valablement émis.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Sont réservés trois postes au conseil d'administration; chaque fois un pour un délégué de l'association professionnelle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représentative des patrons électriciens installateurs, un délégué de l'association professionnelle représentative des producteurs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/ distributeurs de matériel électrotechnique, ainsi que un délégué de l'association professionnelle représentative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des bureaux d'études d'ingénieurs.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La durée de leur mandat est de 3 (trois) ans. Les administrateurs désignent entre eux à la simple majorité, ceux qui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exerceront les fonctions de président, vice-présidents, secrétaire général et trésorier général.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Ces nominations se feront, si possible, conformément aux dispositions contractuelles avec KNX 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bureau exécutif, composé du président, du secrétaire général et du trésorier général, est chargé de la gestion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courante de l'association.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pouvoirs des administrateurs sont ceux résultant de la loi et des présents statuts. Les membres du conseil d'administration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sont rééligibles.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14.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conseil d'administration se réunit chaque fois que les intérêts de l'association l'exigent. De même, le conseil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d'administration doit se réunir à la demande de deux tiers de ses membres ou à la demande de son président.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membres du conseil d'administration sont convoqués par simple lettre ou par tout autre moyen approprié.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lastRenderedPageBreak/>
        <w:t xml:space="preserve">Art. 15.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La signature conjointe de deux membres du conseil d'administration, dont une sera celle du président ou du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secrétaire, engage l'association.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16.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conseil d'administration peut, sous sa responsabilité, déléguer pour des affaires particulières ses pouvoirs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à un de ses membres ou à un tiers.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IV. Contributions et Cotisations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17.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ressources de l'association se composent notamment: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a) des cotisations des membres;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b) des dons et des legs en sa faveur;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c) de subsides et de subventions;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d) de recettes diverses.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montant de la cotisation annuelle maximale est de 500,- €.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membres fondateurs, de même que tout nouveau membre de l'Association, seront tenus de payer une contribution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dont le montant est fixé par l'assemblée générale. Cette contribution ne sera pas restituée en cas de désistement d'un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membre.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18.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La cotisation annuelle maxima pouvant être exigée des membres est fixée périodiquement par l'assemblée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générale.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VII. Mode d'établissement des comptes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19.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 conseil d'administration établit le compte des recettes et des dépenses de l'exercice social et le soumet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pour approbation à l'assemblée générale annuelle ensemble avec un projet de budget pour l'exercice suivant.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VIII. Modification des statuts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20.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L'assemblée générale ne peut valablement délibérer sur les modifications à apporter aux statuts que si cellesci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sont expressément indiquées dans l'avis de convocation et si l'assemblée générale réunit au moins deux tiers des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membres.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21.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Les modifications des statuts ainsi que leur publication s'opèrent conformément aux dispositions afférentes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la loi du 21 avril 1928, telle que modifiée.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IX. Dissolution et Liquidation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22.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La dissolution et la liquidation de l'association s'opèrent conformément aux dispositions afférentes de la loi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du 21 avril 1928, telle que modifiée.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23.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En cas de dissolution de l'association, son patrimoine sera affecté à une association à désigner par l'assemblée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générale.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7"/>
          <w:szCs w:val="17"/>
          <w:lang w:val="lb-LU"/>
        </w:rPr>
      </w:pPr>
      <w:r>
        <w:rPr>
          <w:rFonts w:ascii="GillAltOneMT" w:hAnsi="GillAltOneMT" w:cs="GillAltOneMT"/>
          <w:color w:val="000000"/>
          <w:sz w:val="17"/>
          <w:szCs w:val="17"/>
          <w:lang w:val="lb-LU"/>
        </w:rPr>
        <w:t>97278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8"/>
          <w:szCs w:val="8"/>
          <w:lang w:val="lb-LU"/>
        </w:rPr>
      </w:pPr>
      <w:r>
        <w:rPr>
          <w:rFonts w:ascii="Arial" w:hAnsi="Arial" w:cs="Arial"/>
          <w:b/>
          <w:bCs/>
          <w:color w:val="231F20"/>
          <w:sz w:val="11"/>
          <w:szCs w:val="11"/>
          <w:lang w:val="lb-LU"/>
        </w:rPr>
        <w:t xml:space="preserve">L </w:t>
      </w:r>
      <w:r>
        <w:rPr>
          <w:rFonts w:ascii="Arial" w:hAnsi="Arial" w:cs="Arial"/>
          <w:b/>
          <w:bCs/>
          <w:color w:val="231F20"/>
          <w:sz w:val="8"/>
          <w:szCs w:val="8"/>
          <w:lang w:val="lb-LU"/>
        </w:rPr>
        <w:t>U X E M B O U R G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>X. Dispositions finales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-Bold" w:hAnsi="GillAltOneMT-Bold" w:cs="GillAltOneMT-Bold"/>
          <w:b/>
          <w:bCs/>
          <w:color w:val="000000"/>
          <w:sz w:val="19"/>
          <w:szCs w:val="19"/>
          <w:lang w:val="lb-LU"/>
        </w:rPr>
        <w:t xml:space="preserve">Art. 24. </w:t>
      </w:r>
      <w:r>
        <w:rPr>
          <w:rFonts w:ascii="GillAltOneMT" w:hAnsi="GillAltOneMT" w:cs="GillAltOneMT"/>
          <w:color w:val="000000"/>
          <w:sz w:val="19"/>
          <w:szCs w:val="19"/>
          <w:lang w:val="lb-LU"/>
        </w:rPr>
        <w:t>Pour tous les points non réglés par les présents statuts, les comparants déclarent expressément se soumettre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aux dispositions de la loi du 21 avril 1928, telle que modifiée.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-Italic" w:hAnsi="GillAltOneMT-Italic" w:cs="GillAltOneMT-Italic"/>
          <w:i/>
          <w:iCs/>
          <w:color w:val="000000"/>
          <w:sz w:val="19"/>
          <w:szCs w:val="19"/>
          <w:lang w:val="lb-LU"/>
        </w:rPr>
      </w:pPr>
      <w:r>
        <w:rPr>
          <w:rFonts w:ascii="GillAltOneMT-Italic" w:hAnsi="GillAltOneMT-Italic" w:cs="GillAltOneMT-Italic"/>
          <w:i/>
          <w:iCs/>
          <w:color w:val="000000"/>
          <w:sz w:val="19"/>
          <w:szCs w:val="19"/>
          <w:lang w:val="lb-LU"/>
        </w:rPr>
        <w:t>Liste des membres fondateurs (alphabétique):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Nom Prénom Domicile Nationalité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BOESEN Jens 36, Bahnhofstrasse / D-54338 Schweich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BOSSEL Christian 1A, Mühlenstrasse / D-66693 Mettlach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DE OLIVEIRA Jorge 30, rue de la Montée / L-3321 Berchem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DUHR Roger 162, route de Longwy / L-4831 Rodange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HEES Markus 9, Im Rollsgarten / D-54309 Newel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KIRPACH Georges 22, rue de la Chapelle / L-5328 Medingen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KOLTES Andreas 19A, Margaretenstrasse / D-54456 Tawern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LEONHARDT Marco 24, Leuktalstrasse / D-54441 Trassem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MASSARD Alphonse 12, rue Belle Vue / L-5211 Sandweiler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ORTOLANI François 16, rue du Nord / L-4260 Esch-sur-Alzette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PLEIN Thomas 2, Heidekornweg / D-54329 Konz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SCHEUER Gérard 58, rue de la Montée / L-4981 Reckange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SCHOLTES Heinz D-54340 Köwerich allemande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THEISEN René 27, rue Kiem / L-5337 Moutfort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lastRenderedPageBreak/>
        <w:t>THILL Guy 15, am Wangert / L-6830 Berbourg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ZENNER Marco 2, Batzent / L-8551 Noerdange luxembourgeoise</w:t>
      </w:r>
    </w:p>
    <w:p w:rsidR="00486F6D" w:rsidRDefault="00486F6D" w:rsidP="00486F6D">
      <w:pPr>
        <w:autoSpaceDE w:val="0"/>
        <w:autoSpaceDN w:val="0"/>
        <w:adjustRightInd w:val="0"/>
        <w:spacing w:after="0" w:line="240" w:lineRule="auto"/>
        <w:rPr>
          <w:rFonts w:ascii="GillAltOneMT" w:hAnsi="GillAltOneMT" w:cs="GillAltOneMT"/>
          <w:color w:val="000000"/>
          <w:sz w:val="19"/>
          <w:szCs w:val="19"/>
          <w:lang w:val="lb-LU"/>
        </w:rPr>
      </w:pPr>
      <w:r>
        <w:rPr>
          <w:rFonts w:ascii="GillAltOneMT" w:hAnsi="GillAltOneMT" w:cs="GillAltOneMT"/>
          <w:color w:val="000000"/>
          <w:sz w:val="19"/>
          <w:szCs w:val="19"/>
          <w:lang w:val="lb-LU"/>
        </w:rPr>
        <w:t>Signatures.</w:t>
      </w:r>
    </w:p>
    <w:sectPr w:rsidR="0048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AltOne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AltOne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AltOne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6D"/>
    <w:rsid w:val="00486F6D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BCF36-6C55-4C38-ABDE-ECDA6D64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Massard</dc:creator>
  <cp:keywords/>
  <dc:description/>
  <cp:lastModifiedBy>Alphonse Massard</cp:lastModifiedBy>
  <cp:revision>1</cp:revision>
  <dcterms:created xsi:type="dcterms:W3CDTF">2015-07-20T11:49:00Z</dcterms:created>
  <dcterms:modified xsi:type="dcterms:W3CDTF">2015-07-20T11:51:00Z</dcterms:modified>
</cp:coreProperties>
</file>